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88101" w14:textId="10AD0519" w:rsidR="006C7639" w:rsidRPr="00D57F38" w:rsidRDefault="006C7639" w:rsidP="006C76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FDP-</w:t>
      </w:r>
      <w:r w:rsidRPr="00D57F38">
        <w:rPr>
          <w:rFonts w:ascii="Arial" w:eastAsia="Times New Roman" w:hAnsi="Arial" w:cs="Arial"/>
          <w:sz w:val="20"/>
          <w:szCs w:val="20"/>
          <w:lang w:eastAsia="de-DE"/>
        </w:rPr>
        <w:t>An</w:t>
      </w:r>
      <w:r>
        <w:rPr>
          <w:rFonts w:ascii="Arial" w:eastAsia="Times New Roman" w:hAnsi="Arial" w:cs="Arial"/>
          <w:sz w:val="20"/>
          <w:szCs w:val="20"/>
          <w:lang w:eastAsia="de-DE"/>
        </w:rPr>
        <w:t>trag</w:t>
      </w:r>
      <w:r w:rsidRPr="00D57F38">
        <w:rPr>
          <w:rFonts w:ascii="Arial" w:eastAsia="Times New Roman" w:hAnsi="Arial" w:cs="Arial"/>
          <w:sz w:val="20"/>
          <w:szCs w:val="20"/>
          <w:lang w:eastAsia="de-DE"/>
        </w:rPr>
        <w:t xml:space="preserve"> zur Stadtverordnetenversammlung am </w:t>
      </w:r>
      <w:r>
        <w:rPr>
          <w:rFonts w:ascii="Arial" w:eastAsia="Times New Roman" w:hAnsi="Arial" w:cs="Arial"/>
          <w:sz w:val="20"/>
          <w:szCs w:val="20"/>
          <w:lang w:eastAsia="de-DE"/>
        </w:rPr>
        <w:t>22</w:t>
      </w:r>
      <w:r w:rsidRPr="00D57F38">
        <w:rPr>
          <w:rFonts w:ascii="Arial" w:eastAsia="Times New Roman" w:hAnsi="Arial" w:cs="Arial"/>
          <w:sz w:val="20"/>
          <w:szCs w:val="20"/>
          <w:lang w:eastAsia="de-DE"/>
        </w:rPr>
        <w:t>.0</w:t>
      </w:r>
      <w:r>
        <w:rPr>
          <w:rFonts w:ascii="Arial" w:eastAsia="Times New Roman" w:hAnsi="Arial" w:cs="Arial"/>
          <w:sz w:val="20"/>
          <w:szCs w:val="20"/>
          <w:lang w:eastAsia="de-DE"/>
        </w:rPr>
        <w:t>6</w:t>
      </w:r>
      <w:r w:rsidRPr="00D57F38">
        <w:rPr>
          <w:rFonts w:ascii="Arial" w:eastAsia="Times New Roman" w:hAnsi="Arial" w:cs="Arial"/>
          <w:sz w:val="20"/>
          <w:szCs w:val="20"/>
          <w:lang w:eastAsia="de-DE"/>
        </w:rPr>
        <w:t>.20</w:t>
      </w:r>
      <w:r>
        <w:rPr>
          <w:rFonts w:ascii="Arial" w:eastAsia="Times New Roman" w:hAnsi="Arial" w:cs="Arial"/>
          <w:sz w:val="20"/>
          <w:szCs w:val="20"/>
          <w:lang w:eastAsia="de-DE"/>
        </w:rPr>
        <w:t>20</w:t>
      </w:r>
    </w:p>
    <w:p w14:paraId="4A79C154" w14:textId="77777777" w:rsidR="006C7639" w:rsidRDefault="006C7639" w:rsidP="006C76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BFA95AC" w14:textId="77777777" w:rsidR="006C7639" w:rsidRPr="00494187" w:rsidRDefault="006C7639" w:rsidP="006C76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494187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Erweiterung </w:t>
      </w:r>
      <w:r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und Optimierung </w:t>
      </w:r>
      <w:r w:rsidRPr="00494187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des Radwegenetzes in der Gemarkung Grebenstein</w:t>
      </w:r>
    </w:p>
    <w:p w14:paraId="174CBF61" w14:textId="77777777" w:rsidR="006C7639" w:rsidRDefault="006C7639" w:rsidP="006C76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647EA12" w14:textId="77777777" w:rsidR="006C7639" w:rsidRDefault="006C7639" w:rsidP="006C76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Das Radwegenetz der Stadt Grebenstein ist ausbaufähig. Die Vernetzung der Stadtteile mit der Kernstadt und den anderen Stadtteilen, aber auch den angrenzenden Kommunen ist noch nicht vollständig erschlossen.</w:t>
      </w:r>
    </w:p>
    <w:p w14:paraId="6FEBB39D" w14:textId="77777777" w:rsidR="006C7639" w:rsidRDefault="006C7639" w:rsidP="006C76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Die Anzahl der Radfahrer nimmt zu und dies nicht nur im Freizeitbereich. Die Motivationen liegen im gesundheitlichen, ökonomischen und ökologischen Bereich.</w:t>
      </w:r>
    </w:p>
    <w:p w14:paraId="405690A3" w14:textId="77777777" w:rsidR="006C7639" w:rsidRDefault="006C7639" w:rsidP="006C76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Ein gut ausgebautes Radwegenetz bedeutet auch mehr Sicherheit für Radfahrer.</w:t>
      </w:r>
    </w:p>
    <w:p w14:paraId="54FB8F94" w14:textId="77777777" w:rsidR="006C7639" w:rsidRPr="00BF699F" w:rsidRDefault="006C7639" w:rsidP="006C76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1BFFD87" w14:textId="77777777" w:rsidR="006C7639" w:rsidRDefault="006C7639" w:rsidP="006C76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Dabei können die Handlungsempfehlungen des ADFC (Allgemeiner Deutscher Fahrrad-Club e.V.) herangezogen</w:t>
      </w:r>
      <w:r w:rsidRPr="00D57F3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werden, die in dem Radwegekonzept des Landkreises Kassel – Maßnahmenplan Grebenstein- vom 27.März 2019 aufgelistet sind. </w:t>
      </w:r>
    </w:p>
    <w:p w14:paraId="4D6DF8F0" w14:textId="77777777" w:rsidR="006C7639" w:rsidRDefault="006C7639" w:rsidP="006C76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Sowohl der Landkreis Kassel als auch die hessische Landesregierung stellen Fördermittel zur Verfügung, diese sollten in Anspruch genommen werden.</w:t>
      </w:r>
    </w:p>
    <w:p w14:paraId="474513A2" w14:textId="59367BC5" w:rsidR="006C7639" w:rsidRDefault="006C7639" w:rsidP="006C76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A372749" w14:textId="15E8D482" w:rsidR="006C7639" w:rsidRDefault="006C7639" w:rsidP="006C76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Dieser Antrag wurde einstimmig in der Stadtverordnetenversammlung angenommen.</w:t>
      </w:r>
    </w:p>
    <w:sectPr w:rsidR="006C76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39"/>
    <w:rsid w:val="006C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CCC1"/>
  <w15:chartTrackingRefBased/>
  <w15:docId w15:val="{E9BEF5FE-B4FE-4789-BD5C-4BF49664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763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Giede-Jeppe</dc:creator>
  <cp:keywords/>
  <dc:description/>
  <cp:lastModifiedBy>Heike Giede-Jeppe</cp:lastModifiedBy>
  <cp:revision>1</cp:revision>
  <dcterms:created xsi:type="dcterms:W3CDTF">2020-11-12T19:39:00Z</dcterms:created>
  <dcterms:modified xsi:type="dcterms:W3CDTF">2020-11-12T19:44:00Z</dcterms:modified>
</cp:coreProperties>
</file>